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2"/>
        <w:tblW w:w="10718" w:type="dxa"/>
        <w:tblLayout w:type="fixed"/>
        <w:tblLook w:val="0000" w:firstRow="0" w:lastRow="0" w:firstColumn="0" w:lastColumn="0" w:noHBand="0" w:noVBand="0"/>
      </w:tblPr>
      <w:tblGrid>
        <w:gridCol w:w="10718"/>
      </w:tblGrid>
      <w:tr w:rsidR="002D6314" w:rsidRPr="00E12F1B" w14:paraId="7FAF9976" w14:textId="77777777" w:rsidTr="00F404DC">
        <w:trPr>
          <w:cnfStyle w:val="000000100000" w:firstRow="0" w:lastRow="0" w:firstColumn="0" w:lastColumn="0" w:oddVBand="0" w:evenVBand="0" w:oddHBand="1" w:evenHBand="0" w:firstRowFirstColumn="0" w:firstRowLastColumn="0" w:lastRowFirstColumn="0" w:lastRowLastColumn="0"/>
          <w:trHeight w:hRule="exact" w:val="2404"/>
        </w:trPr>
        <w:tc>
          <w:tcPr>
            <w:tcW w:w="10718" w:type="dxa"/>
            <w:tcBorders>
              <w:top w:val="none" w:sz="0" w:space="0" w:color="auto"/>
              <w:bottom w:val="single" w:sz="4" w:space="0" w:color="auto"/>
            </w:tcBorders>
            <w:shd w:val="clear" w:color="auto" w:fill="FFFFFF" w:themeFill="background1"/>
          </w:tcPr>
          <w:p w14:paraId="40C5CF54" w14:textId="0269F3E4" w:rsidR="002D6314" w:rsidRPr="00E12F1B" w:rsidRDefault="00F404DC" w:rsidP="00FB5F13">
            <w:pPr>
              <w:pStyle w:val="BodyText"/>
            </w:pPr>
            <w:r w:rsidRPr="00F404DC">
              <w:rPr>
                <w:rStyle w:val="Bold"/>
              </w:rPr>
              <w:t>Instructions:</w:t>
            </w:r>
            <w:r>
              <w:t xml:space="preserve"> </w:t>
            </w:r>
            <w:r w:rsidR="00084675" w:rsidRPr="00084675">
              <w:t xml:space="preserve">The accident </w:t>
            </w:r>
            <w:r w:rsidR="00A55E8D">
              <w:t>matri</w:t>
            </w:r>
            <w:r w:rsidR="00FB5F13">
              <w:t>c</w:t>
            </w:r>
            <w:r w:rsidR="00A55E8D" w:rsidRPr="00084675">
              <w:t>es is an effective tool for helping the investigator account for, and analyze</w:t>
            </w:r>
            <w:r w:rsidR="00084675" w:rsidRPr="00084675">
              <w:t xml:space="preserve">, the many factors and causes of an accident.  </w:t>
            </w:r>
            <w:r w:rsidR="0084002A">
              <w:t>Information that is collected during the investigation about the IPP, objects, agents and environment (see definitions) involved in the accident should</w:t>
            </w:r>
            <w:r w:rsidR="0084002A" w:rsidRPr="00084675">
              <w:t xml:space="preserve"> be plugged into the appropriate </w:t>
            </w:r>
            <w:r w:rsidR="0084002A">
              <w:t xml:space="preserve">time </w:t>
            </w:r>
            <w:r w:rsidR="0084002A" w:rsidRPr="00084675">
              <w:t xml:space="preserve">cells of the table.  </w:t>
            </w:r>
            <w:r w:rsidR="0084002A">
              <w:t>When complete, t</w:t>
            </w:r>
            <w:r w:rsidR="00084675" w:rsidRPr="00084675">
              <w:t xml:space="preserve">he information will help the investigator account for what was going on prior to, during and after the accident in regards to the people, equipment and surroundings involved in the accident. Information entered into the table should be concise and bulleted.  Additional rows should be added if more than one </w:t>
            </w:r>
            <w:r w:rsidR="00084675">
              <w:t>IPP</w:t>
            </w:r>
            <w:r w:rsidR="00084675" w:rsidRPr="00084675">
              <w:t xml:space="preserve">, </w:t>
            </w:r>
            <w:r w:rsidR="00084675">
              <w:t>agent or object were</w:t>
            </w:r>
            <w:r w:rsidR="00084675" w:rsidRPr="00084675">
              <w:t xml:space="preserve"> involved.  When the investigation has been exhausted, </w:t>
            </w:r>
            <w:r w:rsidR="0084002A">
              <w:t xml:space="preserve">the investigator </w:t>
            </w:r>
            <w:r w:rsidR="0084002A" w:rsidRPr="00084675">
              <w:t>should</w:t>
            </w:r>
            <w:r w:rsidR="00084675" w:rsidRPr="00084675">
              <w:t xml:space="preserve"> </w:t>
            </w:r>
            <w:r w:rsidR="0084002A">
              <w:t>analyze the accident by</w:t>
            </w:r>
            <w:r w:rsidR="00084675" w:rsidRPr="00084675">
              <w:t xml:space="preserve"> time frames (pre-accident, accident and </w:t>
            </w:r>
            <w:r w:rsidR="0084002A" w:rsidRPr="00084675">
              <w:t>post-accident</w:t>
            </w:r>
            <w:r w:rsidR="00084675" w:rsidRPr="00084675">
              <w:t xml:space="preserve">) </w:t>
            </w:r>
            <w:r w:rsidR="0084002A">
              <w:t>and</w:t>
            </w:r>
            <w:r w:rsidR="00084675" w:rsidRPr="00084675">
              <w:t xml:space="preserve"> by </w:t>
            </w:r>
            <w:r w:rsidR="0084002A">
              <w:t xml:space="preserve">IPP, </w:t>
            </w:r>
            <w:r w:rsidR="0084002A" w:rsidRPr="00084675">
              <w:t>agent</w:t>
            </w:r>
            <w:r w:rsidR="0084002A">
              <w:t>, object</w:t>
            </w:r>
            <w:r w:rsidR="00084675" w:rsidRPr="00084675">
              <w:t xml:space="preserve"> and environment categories to determine causes and severity factors of the accident.  Results are noted in the appropriate column or row. These can then be used to complete the inv</w:t>
            </w:r>
            <w:r w:rsidR="009E3279">
              <w:t>estigative report of accident.</w:t>
            </w:r>
          </w:p>
        </w:tc>
      </w:tr>
      <w:tr w:rsidR="009A46B4" w:rsidRPr="002D6314" w14:paraId="0DEC64E9" w14:textId="77777777" w:rsidTr="00A70CBB">
        <w:trPr>
          <w:trHeight w:hRule="exact" w:val="317"/>
        </w:trPr>
        <w:tc>
          <w:tcPr>
            <w:tcW w:w="10718" w:type="dxa"/>
            <w:tcBorders>
              <w:top w:val="single" w:sz="4" w:space="0" w:color="auto"/>
              <w:left w:val="single" w:sz="4" w:space="0" w:color="auto"/>
              <w:bottom w:val="single" w:sz="4" w:space="0" w:color="auto"/>
              <w:right w:val="single" w:sz="4" w:space="0" w:color="auto"/>
            </w:tcBorders>
          </w:tcPr>
          <w:p w14:paraId="0E9F3CCE" w14:textId="1036E0A7" w:rsidR="009A46B4" w:rsidRPr="002D6314" w:rsidRDefault="009A46B4" w:rsidP="00F404DC">
            <w:pPr>
              <w:pStyle w:val="SECTION"/>
            </w:pPr>
            <w:r w:rsidRPr="002D6314">
              <w:t xml:space="preserve">SECTION </w:t>
            </w:r>
            <w:r w:rsidR="00F404DC">
              <w:t>1</w:t>
            </w:r>
            <w:r w:rsidRPr="002D6314">
              <w:t xml:space="preserve"> – </w:t>
            </w:r>
            <w:r w:rsidR="00061D85">
              <w:t>Definitions</w:t>
            </w:r>
          </w:p>
        </w:tc>
      </w:tr>
      <w:tr w:rsidR="009E3279" w:rsidRPr="002D6314" w14:paraId="37AE987E" w14:textId="77777777" w:rsidTr="009E3279">
        <w:trPr>
          <w:cnfStyle w:val="000000100000" w:firstRow="0" w:lastRow="0" w:firstColumn="0" w:lastColumn="0" w:oddVBand="0" w:evenVBand="0" w:oddHBand="1" w:evenHBand="0" w:firstRowFirstColumn="0" w:firstRowLastColumn="0" w:lastRowFirstColumn="0" w:lastRowLastColumn="0"/>
          <w:trHeight w:val="4976"/>
        </w:trPr>
        <w:tc>
          <w:tcPr>
            <w:tcW w:w="10718" w:type="dxa"/>
            <w:tcBorders>
              <w:top w:val="single" w:sz="4" w:space="0" w:color="auto"/>
            </w:tcBorders>
            <w:shd w:val="clear" w:color="auto" w:fill="FFFFFF" w:themeFill="background1"/>
          </w:tcPr>
          <w:p w14:paraId="40E7E95B" w14:textId="77777777" w:rsidR="009E3279" w:rsidRPr="0068449B" w:rsidRDefault="009E3279" w:rsidP="009E3279">
            <w:pPr>
              <w:pStyle w:val="BodyText"/>
            </w:pPr>
            <w:r w:rsidRPr="0068449B">
              <w:rPr>
                <w:rStyle w:val="Bold"/>
              </w:rPr>
              <w:t>Accident Phase</w:t>
            </w:r>
            <w:r w:rsidRPr="0068449B">
              <w:t xml:space="preserve">:  the period of time </w:t>
            </w:r>
            <w:r>
              <w:t>between</w:t>
            </w:r>
            <w:r w:rsidRPr="0068449B">
              <w:t xml:space="preserve"> the first harmful event seen as causing the accident and </w:t>
            </w:r>
            <w:r>
              <w:t>the point of stabilization.</w:t>
            </w:r>
            <w:r w:rsidRPr="0068449B">
              <w:t xml:space="preserve"> This is often the period of intensive energy release and typically lasts only a few seconds</w:t>
            </w:r>
            <w:r>
              <w:t xml:space="preserve"> (example: the point of impact between two vehicles)</w:t>
            </w:r>
          </w:p>
          <w:p w14:paraId="1BF01011" w14:textId="77777777" w:rsidR="009E3279" w:rsidRPr="0068449B" w:rsidRDefault="009E3279" w:rsidP="009E3279">
            <w:pPr>
              <w:pStyle w:val="BodyText"/>
            </w:pPr>
            <w:r w:rsidRPr="0068449B">
              <w:rPr>
                <w:rStyle w:val="Bold"/>
              </w:rPr>
              <w:t>Agent</w:t>
            </w:r>
            <w:r w:rsidRPr="0068449B">
              <w:t>:</w:t>
            </w:r>
            <w:r>
              <w:t xml:space="preserve"> </w:t>
            </w:r>
            <w:r w:rsidRPr="0068449B">
              <w:t>any living thing (such as another employee) that was directly</w:t>
            </w:r>
            <w:r>
              <w:t xml:space="preserve"> or indirectly</w:t>
            </w:r>
            <w:r w:rsidRPr="0068449B">
              <w:t xml:space="preserve"> involved in the accident </w:t>
            </w:r>
          </w:p>
          <w:p w14:paraId="63A52501" w14:textId="77777777" w:rsidR="009E3279" w:rsidRPr="0068449B" w:rsidRDefault="009E3279" w:rsidP="009E3279">
            <w:pPr>
              <w:pStyle w:val="BodyText"/>
            </w:pPr>
            <w:r w:rsidRPr="0068449B">
              <w:rPr>
                <w:b/>
              </w:rPr>
              <w:t>Causal (contributing) Factor:</w:t>
            </w:r>
            <w:r>
              <w:t xml:space="preserve"> </w:t>
            </w:r>
            <w:r w:rsidRPr="0068449B">
              <w:t xml:space="preserve">a behavior, attribute, or condition in the pre-event stage that, if removed or altered, </w:t>
            </w:r>
            <w:r>
              <w:t>may have</w:t>
            </w:r>
            <w:r w:rsidRPr="0068449B">
              <w:t xml:space="preserve"> stop</w:t>
            </w:r>
            <w:r>
              <w:t>ped</w:t>
            </w:r>
            <w:r w:rsidRPr="0068449B">
              <w:t xml:space="preserve"> or prohibi</w:t>
            </w:r>
            <w:r>
              <w:t>ted</w:t>
            </w:r>
            <w:r w:rsidRPr="0068449B">
              <w:t xml:space="preserve"> the accident from occurrin</w:t>
            </w:r>
            <w:r>
              <w:t>g</w:t>
            </w:r>
          </w:p>
          <w:p w14:paraId="5189867B" w14:textId="77777777" w:rsidR="009E3279" w:rsidRPr="0068449B" w:rsidRDefault="009E3279" w:rsidP="009E3279">
            <w:pPr>
              <w:pStyle w:val="BodyText"/>
            </w:pPr>
            <w:r w:rsidRPr="0068449B">
              <w:rPr>
                <w:rStyle w:val="Bold"/>
              </w:rPr>
              <w:t>Environment</w:t>
            </w:r>
            <w:r>
              <w:rPr>
                <w:rStyle w:val="Bold"/>
              </w:rPr>
              <w:t>:</w:t>
            </w:r>
            <w:r w:rsidRPr="0068449B">
              <w:t xml:space="preserve"> physical conditions (examples: air temperature, noise level, light level, time of day, cleanliness) and social / organizational climate (moods, leadership styles, stress levels, etc.)</w:t>
            </w:r>
          </w:p>
          <w:p w14:paraId="23F904D6" w14:textId="77777777" w:rsidR="009E3279" w:rsidRPr="0068449B" w:rsidRDefault="009E3279" w:rsidP="009E3279">
            <w:pPr>
              <w:pStyle w:val="BodyText"/>
            </w:pPr>
            <w:r w:rsidRPr="0068449B">
              <w:rPr>
                <w:rStyle w:val="Bold"/>
              </w:rPr>
              <w:t>Involved party or property (IPP):</w:t>
            </w:r>
            <w:r w:rsidRPr="0068449B">
              <w:t xml:space="preserve"> the person(s) injured and/or property damaged in the accident</w:t>
            </w:r>
          </w:p>
          <w:p w14:paraId="233B4BA7" w14:textId="77777777" w:rsidR="009E3279" w:rsidRPr="0068449B" w:rsidRDefault="009E3279" w:rsidP="009E3279">
            <w:pPr>
              <w:pStyle w:val="BodyText"/>
              <w:rPr>
                <w:rStyle w:val="Bold"/>
              </w:rPr>
            </w:pPr>
            <w:r w:rsidRPr="0068449B">
              <w:rPr>
                <w:b/>
              </w:rPr>
              <w:t>Normalization</w:t>
            </w:r>
            <w:r w:rsidRPr="0068449B">
              <w:t>:  point in time when the accid</w:t>
            </w:r>
            <w:r>
              <w:t>ent scene has been restored to</w:t>
            </w:r>
            <w:r w:rsidRPr="0068449B">
              <w:t xml:space="preserve"> safe and normal operati</w:t>
            </w:r>
            <w:r>
              <w:t>on</w:t>
            </w:r>
          </w:p>
          <w:p w14:paraId="34D20B34" w14:textId="77777777" w:rsidR="009E3279" w:rsidRPr="0068449B" w:rsidRDefault="009E3279" w:rsidP="009E3279">
            <w:pPr>
              <w:pStyle w:val="BodyText"/>
            </w:pPr>
            <w:r w:rsidRPr="0068449B">
              <w:rPr>
                <w:rStyle w:val="Bold"/>
              </w:rPr>
              <w:t>Object</w:t>
            </w:r>
            <w:r>
              <w:t xml:space="preserve">: </w:t>
            </w:r>
            <w:r w:rsidRPr="0068449B">
              <w:t>any non-living thing (other than the IPP)</w:t>
            </w:r>
            <w:r>
              <w:t xml:space="preserve"> that may have contributed to </w:t>
            </w:r>
            <w:r w:rsidRPr="0068449B">
              <w:t>the accident (floor, boxes, PPE, etc.)</w:t>
            </w:r>
          </w:p>
          <w:p w14:paraId="790492F1" w14:textId="77777777" w:rsidR="009E3279" w:rsidRPr="0068449B" w:rsidRDefault="009E3279" w:rsidP="009E3279">
            <w:pPr>
              <w:pStyle w:val="BodyText"/>
            </w:pPr>
            <w:r w:rsidRPr="0068449B">
              <w:rPr>
                <w:rStyle w:val="Bold"/>
              </w:rPr>
              <w:t>Post-Accident Phase</w:t>
            </w:r>
            <w:r w:rsidRPr="0068449B">
              <w:t>:</w:t>
            </w:r>
            <w:r>
              <w:t xml:space="preserve"> </w:t>
            </w:r>
            <w:r w:rsidRPr="0068449B">
              <w:t>the period beginning at stabilization and lasting through normalization.</w:t>
            </w:r>
          </w:p>
          <w:p w14:paraId="3F862B93" w14:textId="77777777" w:rsidR="009E3279" w:rsidRPr="0068449B" w:rsidRDefault="009E3279" w:rsidP="009E3279">
            <w:pPr>
              <w:pStyle w:val="BodyText"/>
            </w:pPr>
            <w:r w:rsidRPr="0068449B">
              <w:rPr>
                <w:rStyle w:val="Bold"/>
              </w:rPr>
              <w:t>Pre-Accident Phase</w:t>
            </w:r>
            <w:r w:rsidRPr="0068449B">
              <w:t>:</w:t>
            </w:r>
            <w:r>
              <w:t xml:space="preserve"> </w:t>
            </w:r>
            <w:r w:rsidRPr="0068449B">
              <w:t xml:space="preserve">all time prior to the accident during which contributing factors to the accident could have evolved.  This period can begin hours, months, even years </w:t>
            </w:r>
            <w:r>
              <w:t>before the accident took place</w:t>
            </w:r>
          </w:p>
          <w:p w14:paraId="19428258" w14:textId="77777777" w:rsidR="009E3279" w:rsidRPr="0068449B" w:rsidRDefault="009E3279" w:rsidP="009E3279">
            <w:pPr>
              <w:pStyle w:val="BodyText"/>
              <w:rPr>
                <w:b/>
              </w:rPr>
            </w:pPr>
            <w:r w:rsidRPr="0068449B">
              <w:rPr>
                <w:b/>
              </w:rPr>
              <w:t>Severity Factor:</w:t>
            </w:r>
            <w:r>
              <w:t xml:space="preserve"> </w:t>
            </w:r>
            <w:r w:rsidRPr="0068449B">
              <w:t>a behavior, attribute, or condition in the pre-event, event, or post-event phase that influences</w:t>
            </w:r>
            <w:r>
              <w:t>,</w:t>
            </w:r>
            <w:r w:rsidRPr="0068449B">
              <w:t xml:space="preserve"> or directly affects</w:t>
            </w:r>
            <w:r>
              <w:t>,</w:t>
            </w:r>
            <w:r w:rsidRPr="0068449B">
              <w:t xml:space="preserve"> the severity of the accident</w:t>
            </w:r>
            <w:r>
              <w:t xml:space="preserve"> or injury</w:t>
            </w:r>
          </w:p>
          <w:p w14:paraId="278F1893" w14:textId="77777777" w:rsidR="009E3279" w:rsidRPr="0068449B" w:rsidRDefault="009E3279" w:rsidP="009E3279">
            <w:pPr>
              <w:pStyle w:val="BodyText"/>
            </w:pPr>
            <w:r w:rsidRPr="0068449B">
              <w:rPr>
                <w:b/>
              </w:rPr>
              <w:t>Stabilization</w:t>
            </w:r>
            <w:r>
              <w:t>:</w:t>
            </w:r>
            <w:r w:rsidRPr="0068449B">
              <w:t xml:space="preserve"> </w:t>
            </w:r>
            <w:r>
              <w:t xml:space="preserve">the </w:t>
            </w:r>
            <w:r w:rsidRPr="0068449B">
              <w:t xml:space="preserve">point </w:t>
            </w:r>
            <w:r>
              <w:t xml:space="preserve">after the </w:t>
            </w:r>
            <w:r w:rsidRPr="0068449B">
              <w:t>accident where all the harmful energy has been released</w:t>
            </w:r>
            <w:r>
              <w:t xml:space="preserve"> and the scene comes to rest</w:t>
            </w:r>
          </w:p>
        </w:tc>
      </w:tr>
    </w:tbl>
    <w:p w14:paraId="401CF27D" w14:textId="77777777" w:rsidR="009E3279" w:rsidRDefault="009E3279">
      <w:r>
        <w:rPr>
          <w:b/>
        </w:rPr>
        <w:br w:type="page"/>
      </w:r>
    </w:p>
    <w:tbl>
      <w:tblPr>
        <w:tblStyle w:val="Table3Deffects2"/>
        <w:tblW w:w="10718" w:type="dxa"/>
        <w:tblLayout w:type="fixed"/>
        <w:tblLook w:val="0000" w:firstRow="0" w:lastRow="0" w:firstColumn="0" w:lastColumn="0" w:noHBand="0" w:noVBand="0"/>
      </w:tblPr>
      <w:tblGrid>
        <w:gridCol w:w="2143"/>
        <w:gridCol w:w="2144"/>
        <w:gridCol w:w="2143"/>
        <w:gridCol w:w="2144"/>
        <w:gridCol w:w="2144"/>
      </w:tblGrid>
      <w:tr w:rsidR="009A46B4" w:rsidRPr="002D6314" w14:paraId="696D87C8" w14:textId="77777777" w:rsidTr="009E3279">
        <w:trPr>
          <w:cnfStyle w:val="000000100000" w:firstRow="0" w:lastRow="0" w:firstColumn="0" w:lastColumn="0" w:oddVBand="0" w:evenVBand="0" w:oddHBand="1" w:evenHBand="0" w:firstRowFirstColumn="0" w:firstRowLastColumn="0" w:lastRowFirstColumn="0" w:lastRowLastColumn="0"/>
          <w:trHeight w:hRule="exact" w:val="317"/>
        </w:trPr>
        <w:tc>
          <w:tcPr>
            <w:tcW w:w="10718" w:type="dxa"/>
            <w:gridSpan w:val="5"/>
            <w:tcBorders>
              <w:top w:val="single" w:sz="8" w:space="0" w:color="auto"/>
              <w:left w:val="single" w:sz="8" w:space="0" w:color="auto"/>
              <w:bottom w:val="single" w:sz="4" w:space="0" w:color="auto"/>
              <w:right w:val="single" w:sz="8" w:space="0" w:color="auto"/>
            </w:tcBorders>
          </w:tcPr>
          <w:p w14:paraId="318F81A6" w14:textId="22F14D1D" w:rsidR="009A46B4" w:rsidRPr="002D6314" w:rsidRDefault="009A46B4" w:rsidP="00F404DC">
            <w:pPr>
              <w:pStyle w:val="SECTION"/>
            </w:pPr>
            <w:r w:rsidRPr="002D6314">
              <w:lastRenderedPageBreak/>
              <w:t xml:space="preserve">SECTION </w:t>
            </w:r>
            <w:r w:rsidR="00F404DC">
              <w:t>2</w:t>
            </w:r>
            <w:r w:rsidRPr="002D6314">
              <w:t xml:space="preserve"> –</w:t>
            </w:r>
            <w:r w:rsidR="00F404DC">
              <w:t xml:space="preserve"> </w:t>
            </w:r>
            <w:r w:rsidR="00957889">
              <w:t xml:space="preserve">Accident Analysis </w:t>
            </w:r>
            <w:r w:rsidR="00A55E8D">
              <w:t>Matrix</w:t>
            </w:r>
          </w:p>
        </w:tc>
      </w:tr>
      <w:tr w:rsidR="009A46B4" w:rsidRPr="002D6314" w14:paraId="2EC8DDC2" w14:textId="77777777" w:rsidTr="00697CFC">
        <w:trPr>
          <w:trHeight w:hRule="exact" w:val="676"/>
        </w:trPr>
        <w:tc>
          <w:tcPr>
            <w:tcW w:w="10718" w:type="dxa"/>
            <w:gridSpan w:val="5"/>
            <w:tcBorders>
              <w:top w:val="single" w:sz="4" w:space="0" w:color="auto"/>
              <w:bottom w:val="single" w:sz="4" w:space="0" w:color="auto"/>
            </w:tcBorders>
            <w:shd w:val="clear" w:color="auto" w:fill="FFFFFF" w:themeFill="background1"/>
          </w:tcPr>
          <w:p w14:paraId="29FEF2A0" w14:textId="1E2809CF" w:rsidR="009A46B4" w:rsidRDefault="00F404DC" w:rsidP="00A55E8D">
            <w:pPr>
              <w:pStyle w:val="BodyText"/>
            </w:pPr>
            <w:r>
              <w:t xml:space="preserve">Note: </w:t>
            </w:r>
            <w:r w:rsidR="00A55E8D">
              <w:t xml:space="preserve">An example of a completed accident analysis matrix can be found in the </w:t>
            </w:r>
            <w:r w:rsidR="009E3279">
              <w:t>V</w:t>
            </w:r>
            <w:r w:rsidR="00A55E8D">
              <w:t xml:space="preserve">DOF portal of the State Learning Management System by searching </w:t>
            </w:r>
            <w:r w:rsidR="00422744" w:rsidRPr="00422744">
              <w:rPr>
                <w:i/>
              </w:rPr>
              <w:t xml:space="preserve">DOF </w:t>
            </w:r>
            <w:r w:rsidR="00A55E8D" w:rsidRPr="00422744">
              <w:rPr>
                <w:i/>
              </w:rPr>
              <w:t>Accident Investigation</w:t>
            </w:r>
            <w:r w:rsidR="00A55E8D">
              <w:t xml:space="preserve">. </w:t>
            </w:r>
          </w:p>
          <w:p w14:paraId="34AEBE57" w14:textId="77777777" w:rsidR="00A55E8D" w:rsidRPr="002D6314" w:rsidRDefault="00A55E8D" w:rsidP="009E3279">
            <w:pPr>
              <w:pStyle w:val="DataEntry2"/>
            </w:pPr>
          </w:p>
        </w:tc>
      </w:tr>
      <w:tr w:rsidR="00697CFC" w:rsidRPr="002D6314" w14:paraId="1DFFAC7D" w14:textId="77777777" w:rsidTr="00697CFC">
        <w:trPr>
          <w:cnfStyle w:val="000000100000" w:firstRow="0" w:lastRow="0" w:firstColumn="0" w:lastColumn="0" w:oddVBand="0" w:evenVBand="0" w:oddHBand="1" w:evenHBand="0" w:firstRowFirstColumn="0" w:firstRowLastColumn="0" w:lastRowFirstColumn="0" w:lastRowLastColumn="0"/>
          <w:trHeight w:val="710"/>
        </w:trPr>
        <w:tc>
          <w:tcPr>
            <w:tcW w:w="2143" w:type="dxa"/>
            <w:tcBorders>
              <w:top w:val="single" w:sz="4" w:space="0" w:color="auto"/>
              <w:left w:val="single" w:sz="4" w:space="0" w:color="auto"/>
              <w:bottom w:val="single" w:sz="4" w:space="0" w:color="auto"/>
              <w:right w:val="single" w:sz="4" w:space="0" w:color="auto"/>
            </w:tcBorders>
            <w:shd w:val="clear" w:color="auto" w:fill="ADCB9B"/>
          </w:tcPr>
          <w:p w14:paraId="6AF02042" w14:textId="77777777" w:rsidR="00697CFC" w:rsidRDefault="00697CFC" w:rsidP="00697CFC">
            <w:pPr>
              <w:pStyle w:val="FieldName1b"/>
            </w:pPr>
          </w:p>
        </w:tc>
        <w:tc>
          <w:tcPr>
            <w:tcW w:w="2144" w:type="dxa"/>
            <w:tcBorders>
              <w:top w:val="single" w:sz="4" w:space="0" w:color="auto"/>
              <w:left w:val="single" w:sz="4" w:space="0" w:color="auto"/>
              <w:bottom w:val="single" w:sz="4" w:space="0" w:color="auto"/>
              <w:right w:val="single" w:sz="4" w:space="0" w:color="auto"/>
            </w:tcBorders>
            <w:shd w:val="clear" w:color="auto" w:fill="ADCB9B"/>
          </w:tcPr>
          <w:p w14:paraId="19127A71" w14:textId="77777777" w:rsidR="00697CFC" w:rsidRDefault="00697CFC" w:rsidP="00697CFC">
            <w:pPr>
              <w:pStyle w:val="FieldName1b"/>
            </w:pPr>
            <w:r>
              <w:t>Pre-Accident</w:t>
            </w:r>
          </w:p>
        </w:tc>
        <w:tc>
          <w:tcPr>
            <w:tcW w:w="2143" w:type="dxa"/>
            <w:tcBorders>
              <w:top w:val="single" w:sz="4" w:space="0" w:color="auto"/>
              <w:left w:val="single" w:sz="4" w:space="0" w:color="auto"/>
              <w:bottom w:val="single" w:sz="4" w:space="0" w:color="auto"/>
              <w:right w:val="single" w:sz="4" w:space="0" w:color="auto"/>
            </w:tcBorders>
            <w:shd w:val="clear" w:color="auto" w:fill="ADCB9B"/>
          </w:tcPr>
          <w:p w14:paraId="74EFFB44" w14:textId="77777777" w:rsidR="00697CFC" w:rsidRDefault="00697CFC" w:rsidP="00697CFC">
            <w:pPr>
              <w:pStyle w:val="FieldName1b"/>
            </w:pPr>
            <w:r>
              <w:t>Accident Phase</w:t>
            </w:r>
          </w:p>
        </w:tc>
        <w:tc>
          <w:tcPr>
            <w:tcW w:w="2144" w:type="dxa"/>
            <w:tcBorders>
              <w:top w:val="single" w:sz="4" w:space="0" w:color="auto"/>
              <w:left w:val="single" w:sz="4" w:space="0" w:color="auto"/>
              <w:bottom w:val="single" w:sz="4" w:space="0" w:color="auto"/>
              <w:right w:val="single" w:sz="4" w:space="0" w:color="auto"/>
            </w:tcBorders>
            <w:shd w:val="clear" w:color="auto" w:fill="ADCB9B"/>
          </w:tcPr>
          <w:p w14:paraId="35876514" w14:textId="77777777" w:rsidR="00697CFC" w:rsidRDefault="00697CFC" w:rsidP="00697CFC">
            <w:pPr>
              <w:pStyle w:val="FieldName1b"/>
            </w:pPr>
            <w:r>
              <w:t>Post-Accident Phase</w:t>
            </w:r>
          </w:p>
        </w:tc>
        <w:tc>
          <w:tcPr>
            <w:tcW w:w="2144" w:type="dxa"/>
            <w:tcBorders>
              <w:top w:val="single" w:sz="4" w:space="0" w:color="auto"/>
              <w:left w:val="single" w:sz="4" w:space="0" w:color="auto"/>
              <w:bottom w:val="single" w:sz="4" w:space="0" w:color="auto"/>
              <w:right w:val="single" w:sz="4" w:space="0" w:color="auto"/>
            </w:tcBorders>
            <w:shd w:val="clear" w:color="auto" w:fill="ADCB9B"/>
          </w:tcPr>
          <w:p w14:paraId="263D7008" w14:textId="77777777" w:rsidR="00697CFC" w:rsidRDefault="00697CFC" w:rsidP="00697CFC">
            <w:pPr>
              <w:pStyle w:val="FieldName1b"/>
            </w:pPr>
            <w:r>
              <w:t>Summary of Causes and Severity Factors</w:t>
            </w:r>
          </w:p>
        </w:tc>
      </w:tr>
      <w:tr w:rsidR="00697CFC" w:rsidRPr="002D6314" w14:paraId="51D1851F" w14:textId="77777777" w:rsidTr="00697CFC">
        <w:trPr>
          <w:trHeight w:val="2160"/>
        </w:trPr>
        <w:tc>
          <w:tcPr>
            <w:tcW w:w="2143" w:type="dxa"/>
            <w:tcBorders>
              <w:top w:val="single" w:sz="4" w:space="0" w:color="auto"/>
              <w:left w:val="single" w:sz="4" w:space="0" w:color="auto"/>
              <w:bottom w:val="single" w:sz="4" w:space="0" w:color="auto"/>
              <w:right w:val="single" w:sz="4" w:space="0" w:color="auto"/>
            </w:tcBorders>
            <w:shd w:val="clear" w:color="auto" w:fill="ADCB9B"/>
          </w:tcPr>
          <w:p w14:paraId="7488F91F" w14:textId="77777777" w:rsidR="00697CFC" w:rsidRDefault="00697CFC" w:rsidP="00697CFC">
            <w:pPr>
              <w:pStyle w:val="FieldName1b"/>
            </w:pPr>
            <w:r>
              <w:t>Involved Party or Property (IPP)</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45C9FF91" w14:textId="77777777" w:rsidR="00697CFC" w:rsidRDefault="00697CFC" w:rsidP="00697CFC">
            <w:pPr>
              <w:pStyle w:val="DataEntry2"/>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2754" w14:textId="77777777" w:rsidR="00697CFC" w:rsidRDefault="00697CFC" w:rsidP="00697CFC">
            <w:pPr>
              <w:pStyle w:val="DataEntry2"/>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B08F" w14:textId="77777777" w:rsidR="00697CFC" w:rsidRDefault="00697CFC" w:rsidP="00697CFC">
            <w:pPr>
              <w:pStyle w:val="DataEntry2"/>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5BDD3F48" w14:textId="77777777" w:rsidR="00697CFC" w:rsidRDefault="00697CFC" w:rsidP="00697CFC">
            <w:pPr>
              <w:pStyle w:val="DataEntry2"/>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97CFC" w:rsidRPr="002D6314" w14:paraId="386CA34A" w14:textId="77777777" w:rsidTr="00697CFC">
        <w:trPr>
          <w:cnfStyle w:val="000000100000" w:firstRow="0" w:lastRow="0" w:firstColumn="0" w:lastColumn="0" w:oddVBand="0" w:evenVBand="0" w:oddHBand="1" w:evenHBand="0" w:firstRowFirstColumn="0" w:firstRowLastColumn="0" w:lastRowFirstColumn="0" w:lastRowLastColumn="0"/>
          <w:trHeight w:val="2160"/>
        </w:trPr>
        <w:tc>
          <w:tcPr>
            <w:tcW w:w="2143" w:type="dxa"/>
            <w:tcBorders>
              <w:top w:val="single" w:sz="4" w:space="0" w:color="auto"/>
              <w:left w:val="single" w:sz="4" w:space="0" w:color="auto"/>
              <w:bottom w:val="single" w:sz="4" w:space="0" w:color="auto"/>
              <w:right w:val="single" w:sz="4" w:space="0" w:color="auto"/>
            </w:tcBorders>
            <w:shd w:val="clear" w:color="auto" w:fill="ADCB9B"/>
          </w:tcPr>
          <w:p w14:paraId="6DECD98A" w14:textId="77777777" w:rsidR="00697CFC" w:rsidRDefault="00697CFC" w:rsidP="00697CFC">
            <w:pPr>
              <w:pStyle w:val="FieldName1b"/>
            </w:pPr>
            <w:r>
              <w:t>Agent</w:t>
            </w:r>
          </w:p>
        </w:tc>
        <w:tc>
          <w:tcPr>
            <w:tcW w:w="2144" w:type="dxa"/>
            <w:tcBorders>
              <w:top w:val="single" w:sz="4" w:space="0" w:color="auto"/>
              <w:left w:val="single" w:sz="4" w:space="0" w:color="auto"/>
              <w:bottom w:val="single" w:sz="4" w:space="0" w:color="auto"/>
              <w:right w:val="single" w:sz="4" w:space="0" w:color="auto"/>
            </w:tcBorders>
            <w:shd w:val="clear" w:color="auto" w:fill="E0E0E0"/>
          </w:tcPr>
          <w:p w14:paraId="326276D3" w14:textId="77777777" w:rsidR="00697CFC" w:rsidRDefault="00697CFC" w:rsidP="00DD6128">
            <w:pPr>
              <w:pStyle w:val="DataEntry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3" w:type="dxa"/>
            <w:tcBorders>
              <w:top w:val="single" w:sz="4" w:space="0" w:color="auto"/>
              <w:left w:val="single" w:sz="4" w:space="0" w:color="auto"/>
              <w:bottom w:val="single" w:sz="4" w:space="0" w:color="auto"/>
              <w:right w:val="single" w:sz="4" w:space="0" w:color="auto"/>
            </w:tcBorders>
            <w:shd w:val="clear" w:color="auto" w:fill="E0E0E0"/>
          </w:tcPr>
          <w:p w14:paraId="06754184" w14:textId="77777777" w:rsidR="00697CFC" w:rsidRDefault="00697CFC" w:rsidP="00DD6128">
            <w:pPr>
              <w:pStyle w:val="DataEntry2"/>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E0E0E0"/>
          </w:tcPr>
          <w:p w14:paraId="5B5F15A8" w14:textId="77777777" w:rsidR="00697CFC" w:rsidRDefault="00697CFC" w:rsidP="00DD6128">
            <w:pPr>
              <w:pStyle w:val="DataEntry2"/>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E0E0E0"/>
          </w:tcPr>
          <w:p w14:paraId="69CEAA6A" w14:textId="77777777" w:rsidR="00697CFC" w:rsidRDefault="00697CFC" w:rsidP="00DD6128">
            <w:pPr>
              <w:pStyle w:val="DataEntry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7CFC" w:rsidRPr="002D6314" w14:paraId="6C46BB28" w14:textId="77777777" w:rsidTr="00697CFC">
        <w:trPr>
          <w:trHeight w:val="2160"/>
        </w:trPr>
        <w:tc>
          <w:tcPr>
            <w:tcW w:w="2143" w:type="dxa"/>
            <w:tcBorders>
              <w:top w:val="single" w:sz="4" w:space="0" w:color="auto"/>
              <w:left w:val="single" w:sz="4" w:space="0" w:color="auto"/>
              <w:bottom w:val="single" w:sz="4" w:space="0" w:color="auto"/>
              <w:right w:val="single" w:sz="4" w:space="0" w:color="auto"/>
            </w:tcBorders>
            <w:shd w:val="clear" w:color="auto" w:fill="ADCB9B"/>
          </w:tcPr>
          <w:p w14:paraId="3AC10E3F" w14:textId="77777777" w:rsidR="00697CFC" w:rsidRDefault="00697CFC" w:rsidP="00697CFC">
            <w:pPr>
              <w:pStyle w:val="FieldName1b"/>
            </w:pPr>
            <w:r>
              <w:t>Object</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1B4C61DA" w14:textId="77777777" w:rsidR="00697CFC" w:rsidRDefault="00697CFC" w:rsidP="00DD6128">
            <w:pPr>
              <w:pStyle w:val="DataEntry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14:paraId="5C52AF4D" w14:textId="77777777" w:rsidR="00697CFC" w:rsidRDefault="00697CFC" w:rsidP="00DD6128">
            <w:pPr>
              <w:pStyle w:val="DataEntry2"/>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6B1C0545" w14:textId="77777777" w:rsidR="00697CFC" w:rsidRDefault="00697CFC" w:rsidP="00DD6128">
            <w:pPr>
              <w:pStyle w:val="DataEntry2"/>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2D032247" w14:textId="77777777" w:rsidR="00697CFC" w:rsidRDefault="00697CFC" w:rsidP="00DD6128">
            <w:pPr>
              <w:pStyle w:val="DataEntry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7CFC" w:rsidRPr="002D6314" w14:paraId="4E4EF39D" w14:textId="77777777" w:rsidTr="00697CFC">
        <w:trPr>
          <w:cnfStyle w:val="000000100000" w:firstRow="0" w:lastRow="0" w:firstColumn="0" w:lastColumn="0" w:oddVBand="0" w:evenVBand="0" w:oddHBand="1" w:evenHBand="0" w:firstRowFirstColumn="0" w:firstRowLastColumn="0" w:lastRowFirstColumn="0" w:lastRowLastColumn="0"/>
          <w:trHeight w:val="2160"/>
        </w:trPr>
        <w:tc>
          <w:tcPr>
            <w:tcW w:w="2143" w:type="dxa"/>
            <w:tcBorders>
              <w:top w:val="single" w:sz="4" w:space="0" w:color="auto"/>
              <w:left w:val="single" w:sz="4" w:space="0" w:color="auto"/>
              <w:bottom w:val="single" w:sz="4" w:space="0" w:color="auto"/>
              <w:right w:val="single" w:sz="4" w:space="0" w:color="auto"/>
            </w:tcBorders>
            <w:shd w:val="clear" w:color="auto" w:fill="ADCB9B"/>
          </w:tcPr>
          <w:p w14:paraId="7086E4AA" w14:textId="77777777" w:rsidR="00697CFC" w:rsidRDefault="00697CFC" w:rsidP="00697CFC">
            <w:pPr>
              <w:pStyle w:val="FieldName1b"/>
            </w:pPr>
            <w:r>
              <w:t>Environment</w:t>
            </w:r>
          </w:p>
        </w:tc>
        <w:tc>
          <w:tcPr>
            <w:tcW w:w="2144" w:type="dxa"/>
            <w:tcBorders>
              <w:top w:val="single" w:sz="4" w:space="0" w:color="auto"/>
              <w:left w:val="single" w:sz="4" w:space="0" w:color="auto"/>
              <w:bottom w:val="single" w:sz="4" w:space="0" w:color="auto"/>
              <w:right w:val="single" w:sz="4" w:space="0" w:color="auto"/>
            </w:tcBorders>
            <w:shd w:val="clear" w:color="auto" w:fill="E0E0E0"/>
          </w:tcPr>
          <w:p w14:paraId="01FF46C5" w14:textId="77777777" w:rsidR="00697CFC" w:rsidRDefault="00697CFC" w:rsidP="00DD6128">
            <w:pPr>
              <w:pStyle w:val="DataEntry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3" w:type="dxa"/>
            <w:tcBorders>
              <w:top w:val="single" w:sz="4" w:space="0" w:color="auto"/>
              <w:left w:val="single" w:sz="4" w:space="0" w:color="auto"/>
              <w:bottom w:val="single" w:sz="4" w:space="0" w:color="auto"/>
              <w:right w:val="single" w:sz="4" w:space="0" w:color="auto"/>
            </w:tcBorders>
            <w:shd w:val="clear" w:color="auto" w:fill="E0E0E0"/>
          </w:tcPr>
          <w:p w14:paraId="394AB488" w14:textId="77777777" w:rsidR="00697CFC" w:rsidRDefault="00697CFC" w:rsidP="00DD6128">
            <w:pPr>
              <w:pStyle w:val="DataEntry2"/>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E0E0E0"/>
          </w:tcPr>
          <w:p w14:paraId="01FC8B65" w14:textId="77777777" w:rsidR="00697CFC" w:rsidRDefault="00697CFC" w:rsidP="00DD6128">
            <w:pPr>
              <w:pStyle w:val="DataEntry2"/>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E0E0E0"/>
          </w:tcPr>
          <w:p w14:paraId="507C5ED5" w14:textId="77777777" w:rsidR="00697CFC" w:rsidRDefault="00697CFC" w:rsidP="00DD6128">
            <w:pPr>
              <w:pStyle w:val="DataEntry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7CFC" w:rsidRPr="002D6314" w14:paraId="5EBA3854" w14:textId="77777777" w:rsidTr="00697CFC">
        <w:trPr>
          <w:trHeight w:val="2160"/>
        </w:trPr>
        <w:tc>
          <w:tcPr>
            <w:tcW w:w="2143" w:type="dxa"/>
            <w:tcBorders>
              <w:top w:val="single" w:sz="4" w:space="0" w:color="auto"/>
              <w:left w:val="single" w:sz="4" w:space="0" w:color="auto"/>
              <w:bottom w:val="single" w:sz="4" w:space="0" w:color="auto"/>
              <w:right w:val="single" w:sz="4" w:space="0" w:color="auto"/>
            </w:tcBorders>
            <w:shd w:val="clear" w:color="auto" w:fill="ADCB9B"/>
          </w:tcPr>
          <w:p w14:paraId="45E49D89" w14:textId="77777777" w:rsidR="00697CFC" w:rsidRDefault="00697CFC" w:rsidP="00697CFC">
            <w:pPr>
              <w:pStyle w:val="FieldName1b"/>
            </w:pPr>
            <w:r>
              <w:t>Summary of Causes and Severity Factors</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6E7C5FE4" w14:textId="77777777" w:rsidR="00697CFC" w:rsidRDefault="00697CFC" w:rsidP="00DD6128">
            <w:pPr>
              <w:pStyle w:val="DataEntry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14:paraId="3477A6D7" w14:textId="77777777" w:rsidR="00697CFC" w:rsidRDefault="00697CFC" w:rsidP="00DD6128">
            <w:pPr>
              <w:pStyle w:val="DataEntry2"/>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6D484711" w14:textId="77777777" w:rsidR="00697CFC" w:rsidRDefault="00697CFC" w:rsidP="00DD6128">
            <w:pPr>
              <w:pStyle w:val="DataEntry2"/>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tcPr>
          <w:p w14:paraId="08DB4387" w14:textId="77777777" w:rsidR="00697CFC" w:rsidRDefault="00697CFC" w:rsidP="00DD6128">
            <w:pPr>
              <w:pStyle w:val="DataEntry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0FE7C0" w14:textId="77777777" w:rsidR="00697CFC" w:rsidRDefault="00697CFC"/>
    <w:sectPr w:rsidR="00697CFC" w:rsidSect="006C3A8E">
      <w:headerReference w:type="default" r:id="rId9"/>
      <w:footerReference w:type="even" r:id="rId10"/>
      <w:footerReference w:type="default" r:id="rId11"/>
      <w:pgSz w:w="12240" w:h="15840"/>
      <w:pgMar w:top="720" w:right="864" w:bottom="720" w:left="864"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7A6EC" w14:textId="77777777" w:rsidR="009E3279" w:rsidRDefault="009E3279">
      <w:r>
        <w:separator/>
      </w:r>
    </w:p>
  </w:endnote>
  <w:endnote w:type="continuationSeparator" w:id="0">
    <w:p w14:paraId="358408DB" w14:textId="77777777" w:rsidR="009E3279" w:rsidRDefault="009E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A6E9" w14:textId="77777777" w:rsidR="009E3279" w:rsidRDefault="009E3279" w:rsidP="00F10847">
    <w:pPr>
      <w:pStyle w:val="Footer"/>
      <w:framePr w:wrap="around" w:vAnchor="text" w:hAnchor="margin" w:xAlign="right" w:y="1"/>
    </w:pPr>
    <w:r>
      <w:fldChar w:fldCharType="begin"/>
    </w:r>
    <w:r>
      <w:instrText xml:space="preserve">PAGE  </w:instrText>
    </w:r>
    <w:r>
      <w:fldChar w:fldCharType="end"/>
    </w:r>
  </w:p>
  <w:p w14:paraId="78251241" w14:textId="77777777" w:rsidR="009E3279" w:rsidRDefault="009E3279" w:rsidP="00F10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5EA2" w14:textId="77777777" w:rsidR="009E3279" w:rsidRPr="00C8687A" w:rsidRDefault="009E3279" w:rsidP="00C8687A">
    <w:pPr>
      <w:pStyle w:val="Footer"/>
    </w:pPr>
    <w:r w:rsidRPr="00C8687A">
      <w:t>VDOF | F-</w:t>
    </w:r>
    <w:r>
      <w:t>8.23</w:t>
    </w:r>
    <w:r w:rsidRPr="00C8687A">
      <w:tab/>
      <w:t xml:space="preserve">page </w:t>
    </w:r>
    <w:r w:rsidRPr="00C8687A">
      <w:fldChar w:fldCharType="begin"/>
    </w:r>
    <w:r w:rsidRPr="00C8687A">
      <w:instrText xml:space="preserve"> PAGE </w:instrText>
    </w:r>
    <w:r w:rsidRPr="00C8687A">
      <w:fldChar w:fldCharType="separate"/>
    </w:r>
    <w:r w:rsidR="00FB5F13">
      <w:rPr>
        <w:noProof/>
      </w:rPr>
      <w:t>1</w:t>
    </w:r>
    <w:r w:rsidRPr="00C8687A">
      <w:fldChar w:fldCharType="end"/>
    </w:r>
    <w:r w:rsidRPr="00C8687A">
      <w:t xml:space="preserve"> of </w:t>
    </w:r>
    <w:r w:rsidR="00FB5F13">
      <w:fldChar w:fldCharType="begin"/>
    </w:r>
    <w:r w:rsidR="00FB5F13">
      <w:instrText xml:space="preserve"> NUMPAGES </w:instrText>
    </w:r>
    <w:r w:rsidR="00FB5F13">
      <w:fldChar w:fldCharType="separate"/>
    </w:r>
    <w:r w:rsidR="00FB5F13">
      <w:rPr>
        <w:noProof/>
      </w:rPr>
      <w:t>1</w:t>
    </w:r>
    <w:r w:rsidR="00FB5F1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868B" w14:textId="77777777" w:rsidR="009E3279" w:rsidRDefault="009E3279">
      <w:r>
        <w:separator/>
      </w:r>
    </w:p>
  </w:footnote>
  <w:footnote w:type="continuationSeparator" w:id="0">
    <w:p w14:paraId="44EB8256" w14:textId="77777777" w:rsidR="009E3279" w:rsidRDefault="009E3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18" w:type="dxa"/>
      <w:tblLayout w:type="fixed"/>
      <w:tblLook w:val="0000" w:firstRow="0" w:lastRow="0" w:firstColumn="0" w:lastColumn="0" w:noHBand="0" w:noVBand="0"/>
    </w:tblPr>
    <w:tblGrid>
      <w:gridCol w:w="1260"/>
      <w:gridCol w:w="8100"/>
      <w:gridCol w:w="1350"/>
    </w:tblGrid>
    <w:tr w:rsidR="009E3279" w:rsidRPr="005721A2" w14:paraId="6A2EDED7" w14:textId="77777777" w:rsidTr="009E3279">
      <w:trPr>
        <w:cantSplit/>
      </w:trPr>
      <w:tc>
        <w:tcPr>
          <w:tcW w:w="1260" w:type="dxa"/>
        </w:tcPr>
        <w:p w14:paraId="36181F37" w14:textId="77777777" w:rsidR="009E3279" w:rsidRPr="00BB4924" w:rsidRDefault="009E3279" w:rsidP="009E3279">
          <w:pPr>
            <w:pStyle w:val="HeaderFormNumber"/>
          </w:pPr>
          <w:r w:rsidRPr="00BB4924">
            <w:t xml:space="preserve">Form </w:t>
          </w:r>
          <w:r>
            <w:t>8.23</w:t>
          </w:r>
        </w:p>
      </w:tc>
      <w:tc>
        <w:tcPr>
          <w:tcW w:w="8100" w:type="dxa"/>
        </w:tcPr>
        <w:p w14:paraId="567246E3" w14:textId="77777777" w:rsidR="009E3279" w:rsidRPr="00FA51DB" w:rsidRDefault="009E3279" w:rsidP="00FA51DB">
          <w:pPr>
            <w:pStyle w:val="HeaderVDOF"/>
          </w:pPr>
          <w:r w:rsidRPr="00FA51DB">
            <w:t>VIRGINIA DEPARTMENT OF FORESTRY</w:t>
          </w:r>
        </w:p>
      </w:tc>
      <w:tc>
        <w:tcPr>
          <w:tcW w:w="1350" w:type="dxa"/>
          <w:vMerge w:val="restart"/>
        </w:tcPr>
        <w:p w14:paraId="79165E5C" w14:textId="77777777" w:rsidR="009E3279" w:rsidRPr="00E97B0A" w:rsidRDefault="009E3279" w:rsidP="000272A3">
          <w:pPr>
            <w:pStyle w:val="HeaderAppNumber"/>
            <w:jc w:val="right"/>
          </w:pPr>
          <w:r>
            <w:rPr>
              <w:noProof/>
            </w:rPr>
            <w:drawing>
              <wp:inline distT="0" distB="0" distL="0" distR="0" wp14:anchorId="07A86908" wp14:editId="62D2010A">
                <wp:extent cx="312256" cy="358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9E3279" w:rsidRPr="005721A2" w14:paraId="2D9F2DDF" w14:textId="77777777" w:rsidTr="009E3279">
      <w:trPr>
        <w:cantSplit/>
      </w:trPr>
      <w:tc>
        <w:tcPr>
          <w:tcW w:w="1260" w:type="dxa"/>
        </w:tcPr>
        <w:p w14:paraId="2327BBD8" w14:textId="60C856D1" w:rsidR="009E3279" w:rsidRPr="003A6702" w:rsidRDefault="00FB5F13" w:rsidP="00FB5F13">
          <w:pPr>
            <w:pStyle w:val="HeaderDate"/>
          </w:pPr>
          <w:r>
            <w:t>02/06</w:t>
          </w:r>
          <w:r w:rsidR="009E3279">
            <w:t>/201</w:t>
          </w:r>
          <w:r>
            <w:t>7</w:t>
          </w:r>
        </w:p>
      </w:tc>
      <w:tc>
        <w:tcPr>
          <w:tcW w:w="8100" w:type="dxa"/>
        </w:tcPr>
        <w:p w14:paraId="465E09DC" w14:textId="77777777" w:rsidR="009E3279" w:rsidRPr="00E531B1" w:rsidRDefault="009E3279" w:rsidP="00E531B1">
          <w:pPr>
            <w:pStyle w:val="HeaderTitle"/>
          </w:pPr>
          <w:r>
            <w:t>Accident Analysis Matrix</w:t>
          </w:r>
        </w:p>
      </w:tc>
      <w:tc>
        <w:tcPr>
          <w:tcW w:w="1350" w:type="dxa"/>
          <w:vMerge/>
        </w:tcPr>
        <w:p w14:paraId="20AD2633" w14:textId="77777777" w:rsidR="009E3279" w:rsidRPr="00E97B0A" w:rsidRDefault="009E3279" w:rsidP="000272A3">
          <w:pPr>
            <w:pStyle w:val="HeaderNumber"/>
          </w:pPr>
        </w:p>
      </w:tc>
    </w:tr>
  </w:tbl>
  <w:p w14:paraId="4EAF9875" w14:textId="77777777" w:rsidR="009E3279" w:rsidRDefault="009E3279" w:rsidP="0046500E">
    <w:pPr>
      <w:pStyle w:val="Spac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443C06"/>
    <w:lvl w:ilvl="0">
      <w:start w:val="1"/>
      <w:numFmt w:val="decimal"/>
      <w:lvlText w:val="%1."/>
      <w:lvlJc w:val="left"/>
      <w:pPr>
        <w:tabs>
          <w:tab w:val="num" w:pos="1800"/>
        </w:tabs>
        <w:ind w:left="1800" w:hanging="360"/>
      </w:pPr>
    </w:lvl>
  </w:abstractNum>
  <w:abstractNum w:abstractNumId="1">
    <w:nsid w:val="FFFFFF7D"/>
    <w:multiLevelType w:val="singleLevel"/>
    <w:tmpl w:val="CCA4541E"/>
    <w:lvl w:ilvl="0">
      <w:start w:val="1"/>
      <w:numFmt w:val="decimal"/>
      <w:lvlText w:val="%1."/>
      <w:lvlJc w:val="left"/>
      <w:pPr>
        <w:tabs>
          <w:tab w:val="num" w:pos="1440"/>
        </w:tabs>
        <w:ind w:left="1440" w:hanging="360"/>
      </w:pPr>
    </w:lvl>
  </w:abstractNum>
  <w:abstractNum w:abstractNumId="2">
    <w:nsid w:val="FFFFFF7E"/>
    <w:multiLevelType w:val="singleLevel"/>
    <w:tmpl w:val="37D2D66A"/>
    <w:lvl w:ilvl="0">
      <w:start w:val="1"/>
      <w:numFmt w:val="decimal"/>
      <w:lvlText w:val="%1."/>
      <w:lvlJc w:val="left"/>
      <w:pPr>
        <w:tabs>
          <w:tab w:val="num" w:pos="1080"/>
        </w:tabs>
        <w:ind w:left="1080" w:hanging="360"/>
      </w:pPr>
    </w:lvl>
  </w:abstractNum>
  <w:abstractNum w:abstractNumId="3">
    <w:nsid w:val="FFFFFF7F"/>
    <w:multiLevelType w:val="singleLevel"/>
    <w:tmpl w:val="99E0A436"/>
    <w:lvl w:ilvl="0">
      <w:start w:val="1"/>
      <w:numFmt w:val="decimal"/>
      <w:lvlText w:val="%1."/>
      <w:lvlJc w:val="left"/>
      <w:pPr>
        <w:tabs>
          <w:tab w:val="num" w:pos="720"/>
        </w:tabs>
        <w:ind w:left="720" w:hanging="360"/>
      </w:pPr>
    </w:lvl>
  </w:abstractNum>
  <w:abstractNum w:abstractNumId="4">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C41270"/>
    <w:lvl w:ilvl="0">
      <w:start w:val="1"/>
      <w:numFmt w:val="decimal"/>
      <w:lvlText w:val="%1."/>
      <w:lvlJc w:val="left"/>
      <w:pPr>
        <w:tabs>
          <w:tab w:val="num" w:pos="360"/>
        </w:tabs>
        <w:ind w:left="360" w:hanging="360"/>
      </w:pPr>
    </w:lvl>
  </w:abstractNum>
  <w:abstractNum w:abstractNumId="9">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nsid w:val="061208AF"/>
    <w:multiLevelType w:val="hybridMultilevel"/>
    <w:tmpl w:val="76D2E708"/>
    <w:lvl w:ilvl="0" w:tplc="BFCC742E">
      <w:start w:val="1"/>
      <w:numFmt w:val="bullet"/>
      <w:pStyle w:val="BodyBullets"/>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D846AB"/>
    <w:multiLevelType w:val="hybridMultilevel"/>
    <w:tmpl w:val="CF9C1E90"/>
    <w:lvl w:ilvl="0" w:tplc="FBF24078">
      <w:start w:val="1"/>
      <w:numFmt w:val="decimal"/>
      <w:pStyle w:val="BodyNumbers"/>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EC4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4C62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dHiPYDAChqGuTdBaL41NpKEQDy4=" w:salt="GCYHa3cSqhiKT2YbJpxJtQ=="/>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79"/>
    <w:rsid w:val="00013786"/>
    <w:rsid w:val="00017530"/>
    <w:rsid w:val="00023008"/>
    <w:rsid w:val="000272A3"/>
    <w:rsid w:val="00061D85"/>
    <w:rsid w:val="00084675"/>
    <w:rsid w:val="00116E12"/>
    <w:rsid w:val="00155184"/>
    <w:rsid w:val="001A0321"/>
    <w:rsid w:val="001B3DA1"/>
    <w:rsid w:val="001D56A8"/>
    <w:rsid w:val="001E0681"/>
    <w:rsid w:val="002248E6"/>
    <w:rsid w:val="0024295B"/>
    <w:rsid w:val="002566A6"/>
    <w:rsid w:val="0026553F"/>
    <w:rsid w:val="00280E4C"/>
    <w:rsid w:val="002A0132"/>
    <w:rsid w:val="002B0518"/>
    <w:rsid w:val="002B7D87"/>
    <w:rsid w:val="002C37AC"/>
    <w:rsid w:val="002D0172"/>
    <w:rsid w:val="002D6314"/>
    <w:rsid w:val="002E62DF"/>
    <w:rsid w:val="00383E97"/>
    <w:rsid w:val="00383F6E"/>
    <w:rsid w:val="003A2AEC"/>
    <w:rsid w:val="003A6702"/>
    <w:rsid w:val="003B358E"/>
    <w:rsid w:val="004045AB"/>
    <w:rsid w:val="00422744"/>
    <w:rsid w:val="0042395D"/>
    <w:rsid w:val="0042666B"/>
    <w:rsid w:val="004455D6"/>
    <w:rsid w:val="0046500E"/>
    <w:rsid w:val="00474928"/>
    <w:rsid w:val="00491C16"/>
    <w:rsid w:val="00492611"/>
    <w:rsid w:val="004D710F"/>
    <w:rsid w:val="005001EC"/>
    <w:rsid w:val="005213C4"/>
    <w:rsid w:val="005675C9"/>
    <w:rsid w:val="005721A2"/>
    <w:rsid w:val="00575BD6"/>
    <w:rsid w:val="005A75D3"/>
    <w:rsid w:val="005B7BD3"/>
    <w:rsid w:val="005D4B5A"/>
    <w:rsid w:val="005F1961"/>
    <w:rsid w:val="00611248"/>
    <w:rsid w:val="00630115"/>
    <w:rsid w:val="00660603"/>
    <w:rsid w:val="00661FBC"/>
    <w:rsid w:val="006748F5"/>
    <w:rsid w:val="0068449B"/>
    <w:rsid w:val="0069131B"/>
    <w:rsid w:val="00697CFC"/>
    <w:rsid w:val="006C3A8E"/>
    <w:rsid w:val="006C4201"/>
    <w:rsid w:val="006C6B2C"/>
    <w:rsid w:val="00701AC9"/>
    <w:rsid w:val="007159EA"/>
    <w:rsid w:val="0071773F"/>
    <w:rsid w:val="00724A1A"/>
    <w:rsid w:val="00741DD1"/>
    <w:rsid w:val="00750B6D"/>
    <w:rsid w:val="0077697C"/>
    <w:rsid w:val="007A027C"/>
    <w:rsid w:val="007E22F3"/>
    <w:rsid w:val="007E6296"/>
    <w:rsid w:val="007F5A91"/>
    <w:rsid w:val="0081750D"/>
    <w:rsid w:val="0084002A"/>
    <w:rsid w:val="008519D6"/>
    <w:rsid w:val="00851DD9"/>
    <w:rsid w:val="00865C96"/>
    <w:rsid w:val="008A6DC3"/>
    <w:rsid w:val="00906F2E"/>
    <w:rsid w:val="00910E1A"/>
    <w:rsid w:val="00957889"/>
    <w:rsid w:val="009A46B4"/>
    <w:rsid w:val="009C5AE9"/>
    <w:rsid w:val="009E2EC3"/>
    <w:rsid w:val="009E3279"/>
    <w:rsid w:val="009E3436"/>
    <w:rsid w:val="00A06FBF"/>
    <w:rsid w:val="00A55E8D"/>
    <w:rsid w:val="00A70CBB"/>
    <w:rsid w:val="00AA308E"/>
    <w:rsid w:val="00AD08D4"/>
    <w:rsid w:val="00AD39B0"/>
    <w:rsid w:val="00AF0C10"/>
    <w:rsid w:val="00B1320E"/>
    <w:rsid w:val="00BB4924"/>
    <w:rsid w:val="00C8687A"/>
    <w:rsid w:val="00C9375F"/>
    <w:rsid w:val="00CA34FB"/>
    <w:rsid w:val="00CA6805"/>
    <w:rsid w:val="00CD66F6"/>
    <w:rsid w:val="00CF0769"/>
    <w:rsid w:val="00D35913"/>
    <w:rsid w:val="00D4154A"/>
    <w:rsid w:val="00D626C7"/>
    <w:rsid w:val="00D86BF9"/>
    <w:rsid w:val="00D95B8E"/>
    <w:rsid w:val="00DD1BEC"/>
    <w:rsid w:val="00DF5568"/>
    <w:rsid w:val="00DF6E71"/>
    <w:rsid w:val="00E108A0"/>
    <w:rsid w:val="00E16B44"/>
    <w:rsid w:val="00E179DA"/>
    <w:rsid w:val="00E2658D"/>
    <w:rsid w:val="00E531B1"/>
    <w:rsid w:val="00E77EEB"/>
    <w:rsid w:val="00E8287C"/>
    <w:rsid w:val="00E97B0A"/>
    <w:rsid w:val="00EC0608"/>
    <w:rsid w:val="00ED581D"/>
    <w:rsid w:val="00EE750F"/>
    <w:rsid w:val="00EF6A40"/>
    <w:rsid w:val="00F10847"/>
    <w:rsid w:val="00F3484F"/>
    <w:rsid w:val="00F404DC"/>
    <w:rsid w:val="00F475B0"/>
    <w:rsid w:val="00F7209A"/>
    <w:rsid w:val="00FA51DB"/>
    <w:rsid w:val="00FB5F13"/>
    <w:rsid w:val="00FD1064"/>
    <w:rsid w:val="00FD45C9"/>
    <w:rsid w:val="00FF1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4FC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E3279"/>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697CFC"/>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6C6B2C"/>
    <w:pPr>
      <w:spacing w:before="120"/>
    </w:pPr>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0272A3"/>
    <w:rPr>
      <w:rFonts w:ascii="Lucida Grande" w:hAnsi="Lucida Grande" w:cs="Lucida Grande"/>
      <w:sz w:val="18"/>
      <w:szCs w:val="18"/>
    </w:rPr>
  </w:style>
  <w:style w:type="character" w:customStyle="1" w:styleId="BalloonTextChar">
    <w:name w:val="Balloon Text Char"/>
    <w:basedOn w:val="DefaultParagraphFont"/>
    <w:link w:val="BalloonText"/>
    <w:rsid w:val="000272A3"/>
    <w:rPr>
      <w:rFonts w:ascii="Lucida Grande" w:hAnsi="Lucida Grande" w:cs="Lucida Grande"/>
      <w:sz w:val="18"/>
      <w:szCs w:val="18"/>
    </w:rPr>
  </w:style>
  <w:style w:type="paragraph" w:customStyle="1" w:styleId="FieldName3center">
    <w:name w:val="Field Name 3 center"/>
    <w:basedOn w:val="FieldName3"/>
    <w:rsid w:val="009A46B4"/>
    <w:pPr>
      <w:jc w:val="center"/>
    </w:pPr>
  </w:style>
  <w:style w:type="table" w:styleId="TableGrid">
    <w:name w:val="Table Grid"/>
    <w:basedOn w:val="TableNormal"/>
    <w:rsid w:val="00957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95788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788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95788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ghtShading-Accent3">
    <w:name w:val="Light Shading Accent 3"/>
    <w:basedOn w:val="TableNormal"/>
    <w:uiPriority w:val="60"/>
    <w:rsid w:val="0095788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9578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E3279"/>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697CFC"/>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6C6B2C"/>
    <w:pPr>
      <w:spacing w:before="120"/>
    </w:pPr>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0272A3"/>
    <w:rPr>
      <w:rFonts w:ascii="Lucida Grande" w:hAnsi="Lucida Grande" w:cs="Lucida Grande"/>
      <w:sz w:val="18"/>
      <w:szCs w:val="18"/>
    </w:rPr>
  </w:style>
  <w:style w:type="character" w:customStyle="1" w:styleId="BalloonTextChar">
    <w:name w:val="Balloon Text Char"/>
    <w:basedOn w:val="DefaultParagraphFont"/>
    <w:link w:val="BalloonText"/>
    <w:rsid w:val="000272A3"/>
    <w:rPr>
      <w:rFonts w:ascii="Lucida Grande" w:hAnsi="Lucida Grande" w:cs="Lucida Grande"/>
      <w:sz w:val="18"/>
      <w:szCs w:val="18"/>
    </w:rPr>
  </w:style>
  <w:style w:type="paragraph" w:customStyle="1" w:styleId="FieldName3center">
    <w:name w:val="Field Name 3 center"/>
    <w:basedOn w:val="FieldName3"/>
    <w:rsid w:val="009A46B4"/>
    <w:pPr>
      <w:jc w:val="center"/>
    </w:pPr>
  </w:style>
  <w:style w:type="table" w:styleId="TableGrid">
    <w:name w:val="Table Grid"/>
    <w:basedOn w:val="TableNormal"/>
    <w:rsid w:val="00957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95788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788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95788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ghtShading-Accent3">
    <w:name w:val="Light Shading Accent 3"/>
    <w:basedOn w:val="TableNormal"/>
    <w:uiPriority w:val="60"/>
    <w:rsid w:val="0095788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9578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1281-706D-6345-8BD4-A0A14692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f08.23.dotx</Template>
  <TotalTime>19</TotalTime>
  <Pages>1</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106 Urban and Community Forestry Grant Program - Grant Proposal Application</vt:lpstr>
    </vt:vector>
  </TitlesOfParts>
  <Manager>Human Resources</Manager>
  <Company>Virginia Department of Forestry</Company>
  <LinksUpToDate>false</LinksUpToDate>
  <CharactersWithSpaces>3596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8.23 Accident Analysis Matrix</dc:title>
  <dc:subject>Human Resources</dc:subject>
  <dc:creator>Janet Muncy</dc:creator>
  <cp:keywords>form, 8.23, accident, investigation, analysis, matrix</cp:keywords>
  <dc:description/>
  <cp:lastModifiedBy>Janet Muncy</cp:lastModifiedBy>
  <cp:revision>4</cp:revision>
  <cp:lastPrinted>2016-09-28T16:33:00Z</cp:lastPrinted>
  <dcterms:created xsi:type="dcterms:W3CDTF">2016-09-27T14:00:00Z</dcterms:created>
  <dcterms:modified xsi:type="dcterms:W3CDTF">2017-02-06T22:43:00Z</dcterms:modified>
  <cp:category>form</cp:category>
</cp:coreProperties>
</file>